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AD" w:rsidRPr="00927CAD" w:rsidRDefault="00927CAD" w:rsidP="00927CAD">
      <w:pPr>
        <w:spacing w:after="75"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Legge 27 dicembre 2006, n. 296</w:t>
      </w:r>
      <w:r w:rsidRPr="00927CAD">
        <w:rPr>
          <w:rFonts w:ascii="Times New Roman" w:eastAsia="Times New Roman" w:hAnsi="Times New Roman" w:cs="Times New Roman"/>
          <w:sz w:val="24"/>
          <w:szCs w:val="24"/>
          <w:lang w:eastAsia="it-IT"/>
        </w:rPr>
        <w:br/>
        <w:t>Gazzetta Ufficiale Repubblica Italiana 27 dicembre 2006, n. 299 - Supplemento Ordinario, n. 244</w:t>
      </w:r>
      <w:r w:rsidRPr="00927CAD">
        <w:rPr>
          <w:rFonts w:ascii="Times New Roman" w:eastAsia="Times New Roman" w:hAnsi="Times New Roman" w:cs="Times New Roman"/>
          <w:sz w:val="24"/>
          <w:szCs w:val="24"/>
          <w:lang w:eastAsia="it-IT"/>
        </w:rPr>
        <w:br/>
      </w:r>
      <w:r w:rsidRPr="00927CAD">
        <w:rPr>
          <w:rFonts w:ascii="Times New Roman" w:eastAsia="Times New Roman" w:hAnsi="Times New Roman" w:cs="Times New Roman"/>
          <w:sz w:val="24"/>
          <w:szCs w:val="24"/>
          <w:lang w:eastAsia="it-IT"/>
        </w:rPr>
        <w:br/>
        <w:t>Disposizioni per la formazione del bilancio annuale e pluriennale dello Stato (Legge finanziaria 2007).</w:t>
      </w:r>
      <w:r w:rsidRPr="00927CAD">
        <w:rPr>
          <w:rFonts w:ascii="Times New Roman" w:eastAsia="Times New Roman" w:hAnsi="Times New Roman" w:cs="Times New Roman"/>
          <w:sz w:val="24"/>
          <w:szCs w:val="24"/>
          <w:lang w:eastAsia="it-IT"/>
        </w:rPr>
        <w:br/>
        <w:t xml:space="preserve">Articolo 1 </w:t>
      </w:r>
      <w:r w:rsidRPr="00927CAD">
        <w:rPr>
          <w:rFonts w:ascii="Times New Roman" w:eastAsia="Times New Roman" w:hAnsi="Times New Roman" w:cs="Times New Roman"/>
          <w:sz w:val="24"/>
          <w:szCs w:val="24"/>
          <w:lang w:eastAsia="it-IT"/>
        </w:rPr>
        <w:br/>
        <w:t>Commi 158-172 Tributi locali. Gestione</w:t>
      </w:r>
      <w:r w:rsidRPr="00927CAD">
        <w:rPr>
          <w:rFonts w:ascii="Times New Roman" w:eastAsia="Times New Roman" w:hAnsi="Times New Roman" w:cs="Times New Roman"/>
          <w:sz w:val="24"/>
          <w:szCs w:val="24"/>
          <w:lang w:eastAsia="it-IT"/>
        </w:rPr>
        <w:br/>
      </w:r>
    </w:p>
    <w:p w:rsidR="00927CAD" w:rsidRPr="00927CAD" w:rsidRDefault="00927CAD" w:rsidP="00927CAD">
      <w:pPr>
        <w:spacing w:after="0" w:line="240" w:lineRule="auto"/>
        <w:rPr>
          <w:rFonts w:ascii="Times New Roman" w:eastAsia="Times New Roman" w:hAnsi="Times New Roman" w:cs="Times New Roman"/>
          <w:sz w:val="24"/>
          <w:szCs w:val="24"/>
          <w:lang w:eastAsia="it-IT"/>
        </w:rPr>
      </w:pP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158. Per la notifica degli atti di accertamento dei tributi locali e di quelli afferenti le procedure esecutive di cui al testo unico delle disposizioni di legge relative alla riscossione delle entrate patrimoniali dello Stato, di cui al </w:t>
      </w:r>
      <w:hyperlink r:id="rId5" w:history="1">
        <w:r w:rsidRPr="00927CAD">
          <w:rPr>
            <w:rFonts w:ascii="Times New Roman" w:eastAsia="Times New Roman" w:hAnsi="Times New Roman" w:cs="Times New Roman"/>
            <w:color w:val="0000FF"/>
            <w:sz w:val="24"/>
            <w:szCs w:val="24"/>
            <w:u w:val="single"/>
            <w:lang w:eastAsia="it-IT"/>
          </w:rPr>
          <w:t>regio decreto 14 aprile 1910, n. 639</w:t>
        </w:r>
      </w:hyperlink>
      <w:r w:rsidRPr="00927CAD">
        <w:rPr>
          <w:rFonts w:ascii="Times New Roman" w:eastAsia="Times New Roman" w:hAnsi="Times New Roman" w:cs="Times New Roman"/>
          <w:sz w:val="24"/>
          <w:szCs w:val="24"/>
          <w:lang w:eastAsia="it-IT"/>
        </w:rPr>
        <w:t xml:space="preserve">, e successive modificazioni, nonché degli atti di invito al pagamento delle entrate </w:t>
      </w:r>
      <w:proofErr w:type="spellStart"/>
      <w:r w:rsidRPr="00927CAD">
        <w:rPr>
          <w:rFonts w:ascii="Times New Roman" w:eastAsia="Times New Roman" w:hAnsi="Times New Roman" w:cs="Times New Roman"/>
          <w:sz w:val="24"/>
          <w:szCs w:val="24"/>
          <w:lang w:eastAsia="it-IT"/>
        </w:rPr>
        <w:t>extratributarie</w:t>
      </w:r>
      <w:proofErr w:type="spellEnd"/>
      <w:r w:rsidRPr="00927CAD">
        <w:rPr>
          <w:rFonts w:ascii="Times New Roman" w:eastAsia="Times New Roman" w:hAnsi="Times New Roman" w:cs="Times New Roman"/>
          <w:sz w:val="24"/>
          <w:szCs w:val="24"/>
          <w:lang w:eastAsia="it-IT"/>
        </w:rPr>
        <w:t xml:space="preserve"> dei comuni e delle province, ferme restando le disposizioni vigenti, il dirigente dell'ufficio competente, con provvedimento formale, può nominare uno o più messi notificatori.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159. I messi notificatori possono essere nominati tra i dipendenti dell'amministrazione comunale o provinciale, tra i dipendenti dei soggetti ai quali l'ente locale ha affidato, anche disgiuntamente, la liquidazione, l'accertamento e la riscossione dei tributi e delle altre entrate ai sensi dell'</w:t>
      </w:r>
      <w:hyperlink r:id="rId6" w:history="1">
        <w:r w:rsidRPr="00927CAD">
          <w:rPr>
            <w:rFonts w:ascii="Times New Roman" w:eastAsia="Times New Roman" w:hAnsi="Times New Roman" w:cs="Times New Roman"/>
            <w:color w:val="0000FF"/>
            <w:sz w:val="24"/>
            <w:szCs w:val="24"/>
            <w:u w:val="single"/>
            <w:lang w:eastAsia="it-IT"/>
          </w:rPr>
          <w:t>articolo 52</w:t>
        </w:r>
      </w:hyperlink>
      <w:r w:rsidRPr="00927CAD">
        <w:rPr>
          <w:rFonts w:ascii="Times New Roman" w:eastAsia="Times New Roman" w:hAnsi="Times New Roman" w:cs="Times New Roman"/>
          <w:sz w:val="24"/>
          <w:szCs w:val="24"/>
          <w:lang w:eastAsia="it-IT"/>
        </w:rPr>
        <w:t xml:space="preserve"> comma 5, lettera b), del decreto legislativo 15 dicembre 1997, n. 446, e successive modificazioni, nonché tra soggetti che, per qualifica professionale, esperienza, capacità ed affidabilità, forniscono idonea garanzia del corretto svolgimento delle funzioni assegnate, previa, in ogni caso, la partecipazione ad apposito corso di formazione e qualificazione, organizzato a cura dell'ente locale, ed il superamento di un esame di idoneità.</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160. Il messo notificatore esercita le sue funzioni nel territorio dell'ente locale che lo ha nominato, sulla base della direzione e del coordinamento diretto dell'ente ovvero degli affidatari del servizio di liquidazione, accertamento e riscossione dei tributi e delle altre entrate ai sensi dell'</w:t>
      </w:r>
      <w:hyperlink r:id="rId7" w:history="1">
        <w:r w:rsidRPr="00927CAD">
          <w:rPr>
            <w:rFonts w:ascii="Times New Roman" w:eastAsia="Times New Roman" w:hAnsi="Times New Roman" w:cs="Times New Roman"/>
            <w:color w:val="0000FF"/>
            <w:sz w:val="24"/>
            <w:szCs w:val="24"/>
            <w:u w:val="single"/>
            <w:lang w:eastAsia="it-IT"/>
          </w:rPr>
          <w:t>articolo 52</w:t>
        </w:r>
      </w:hyperlink>
      <w:r w:rsidRPr="00927CAD">
        <w:rPr>
          <w:rFonts w:ascii="Times New Roman" w:eastAsia="Times New Roman" w:hAnsi="Times New Roman" w:cs="Times New Roman"/>
          <w:sz w:val="24"/>
          <w:szCs w:val="24"/>
          <w:lang w:eastAsia="it-IT"/>
        </w:rPr>
        <w:t xml:space="preserve"> comma 5, lettera b), del decreto legislativo 15 dicembre 1997, n. 446, e successive modificazioni. Il messo notificatore non può farsi sostituire né rappresentare da altri soggetti.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161. Gli enti locali, relativamente ai tributi di propria competenza, procedono alla rettifica delle dichiarazioni incomplete o infedeli o dei parziali o ritardati versamenti, nonché all'accertamento d'ufficio delle omesse dichiarazioni o degli omessi versamenti, notificando al contribuente, anche a mezzo posta con raccomandata con avviso di ricevimento, un apposito avviso motivato. Gli avvisi di accertamento in rettifica e d'ufficio devono essere notificati, a pena di decadenza, entro il 31 dicembre del quinto anno successivo a quello in cui la dichiarazione o il versamento sono stati o avrebbero dovuto essere effettuati. Entro gli stessi termini devono essere contestate o irrogate le sanzioni amministrative tributarie, a norma degli </w:t>
      </w:r>
      <w:hyperlink r:id="rId8" w:history="1">
        <w:r w:rsidRPr="00927CAD">
          <w:rPr>
            <w:rFonts w:ascii="Times New Roman" w:eastAsia="Times New Roman" w:hAnsi="Times New Roman" w:cs="Times New Roman"/>
            <w:color w:val="0000FF"/>
            <w:sz w:val="24"/>
            <w:szCs w:val="24"/>
            <w:u w:val="single"/>
            <w:lang w:eastAsia="it-IT"/>
          </w:rPr>
          <w:t>articoli 16 e 17</w:t>
        </w:r>
      </w:hyperlink>
      <w:r w:rsidRPr="00927CAD">
        <w:rPr>
          <w:rFonts w:ascii="Times New Roman" w:eastAsia="Times New Roman" w:hAnsi="Times New Roman" w:cs="Times New Roman"/>
          <w:sz w:val="24"/>
          <w:szCs w:val="24"/>
          <w:lang w:eastAsia="it-IT"/>
        </w:rPr>
        <w:t xml:space="preserve"> del decreto legislativo 18 dicembre 1997, n. 472, e successive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162. Gli avvisi di accertamento in rettifica e d'ufficio devono essere motivati in relazione ai presupposti di fatto ed alle ragioni giuridiche che li hanno determinati; se la motivazione fa riferimento ad un altro atto non conosciuto né ricevuto dal contribuente, questo deve essere allegato all'atto che lo richiama, salvo che quest'ultimo non ne riproduca il contenuto essenziale. Gli avvisi devono contenere, altresì, l'indicazione dell'ufficio presso il quale è possibile ottenere informazioni complete in merito all'atto notificato, del responsabile del procedimento, dell'organo o dell'autorità amministrativa presso i quali è possibile promuovere un riesame anche nel merito dell'atto in sede di autotutela, delle modalità, del termine e dell'organo giurisdizionale cui è possibile ricorrere, </w:t>
      </w:r>
      <w:r w:rsidRPr="00927CAD">
        <w:rPr>
          <w:rFonts w:ascii="Times New Roman" w:eastAsia="Times New Roman" w:hAnsi="Times New Roman" w:cs="Times New Roman"/>
          <w:sz w:val="24"/>
          <w:szCs w:val="24"/>
          <w:lang w:eastAsia="it-IT"/>
        </w:rPr>
        <w:lastRenderedPageBreak/>
        <w:t>nonché il termine di sessanta giorni entro cui effettuare il relativo pagamento. Gli avvisi sono sottoscritti dal funzionario designato dall'ente locale per la gestione del tributo.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163. Nel caso di riscossione coattiva dei tributi locali il relativo titolo esecutivo deve essere notificato al contribuente, a pena di decadenza, entro il 31 dicembre del terzo anno successivo a quello in cui l'accertamento è divenuto definitivo.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164. Il rimborso delle somme versate e non dovute deve essere richiesto dal contribuente entro il termine di cinque anni dal giorno del versamento, ovvero da quello in cui è stato accertato il diritto alla restituzione. L'ente locale provvede ad effettuare il rimborso entro centottanta giorni dalla data di presentazione dell'istanza.</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165. La misura annua degli interessi è determinata, da ciascun ente impositore, nei limiti di tre punti percentuali di differenza rispetto al tasso di interesse legale. Gli interessi sono calcolati con maturazione giorno per giorno con decorrenza dal giorno in cui sono divenuti esigibili. Interessi nella stessa misura spettano al contribuente per le somme ad esso dovute a decorrere dalla data dell'eseguito versamento.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166. Il pagamento dei tributi locali deve essere effettuato con arrotondamento all'euro per difetto se la frazione è inferiore a 49 centesimi, ovvero per eccesso se superiore a detto importo.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167. Gli enti locali disciplinano le modalità con le quali i contribuenti possono compensare le somme a credito con quelle dovute al comune a titolo di tributi locali.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168. Gli enti locali, nel rispetto dei princìpi posti dall'</w:t>
      </w:r>
      <w:hyperlink r:id="rId9" w:history="1">
        <w:r w:rsidRPr="00927CAD">
          <w:rPr>
            <w:rFonts w:ascii="Times New Roman" w:eastAsia="Times New Roman" w:hAnsi="Times New Roman" w:cs="Times New Roman"/>
            <w:color w:val="0000FF"/>
            <w:sz w:val="24"/>
            <w:szCs w:val="24"/>
            <w:u w:val="single"/>
            <w:lang w:eastAsia="it-IT"/>
          </w:rPr>
          <w:t>articolo 25</w:t>
        </w:r>
      </w:hyperlink>
      <w:r w:rsidRPr="00927CAD">
        <w:rPr>
          <w:rFonts w:ascii="Times New Roman" w:eastAsia="Times New Roman" w:hAnsi="Times New Roman" w:cs="Times New Roman"/>
          <w:sz w:val="24"/>
          <w:szCs w:val="24"/>
          <w:lang w:eastAsia="it-IT"/>
        </w:rPr>
        <w:t xml:space="preserve"> della legge 27 dicembre 2002, n. 289, stabiliscono per ciascun tributo di propria competenza gli importi fino a concorrenza dei quali i versamenti non sono dovuti o non sono effettuati i rimborsi. In caso di inottemperanza, si applica la disciplina prevista dal medesimo </w:t>
      </w:r>
      <w:hyperlink r:id="rId10" w:history="1">
        <w:r w:rsidRPr="00927CAD">
          <w:rPr>
            <w:rFonts w:ascii="Times New Roman" w:eastAsia="Times New Roman" w:hAnsi="Times New Roman" w:cs="Times New Roman"/>
            <w:color w:val="0000FF"/>
            <w:sz w:val="24"/>
            <w:szCs w:val="24"/>
            <w:u w:val="single"/>
            <w:lang w:eastAsia="it-IT"/>
          </w:rPr>
          <w:t>articolo 25</w:t>
        </w:r>
      </w:hyperlink>
      <w:r w:rsidRPr="00927CAD">
        <w:rPr>
          <w:rFonts w:ascii="Times New Roman" w:eastAsia="Times New Roman" w:hAnsi="Times New Roman" w:cs="Times New Roman"/>
          <w:sz w:val="24"/>
          <w:szCs w:val="24"/>
          <w:lang w:eastAsia="it-IT"/>
        </w:rPr>
        <w:t xml:space="preserve"> della legge n. 289 del 2002.</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169. Gli enti locali deliberano le tariffe e le aliquote relative ai tributi di loro competenza entro la data fissata da norme statali per la deliberazione del bilancio di previsione. Dette deliberazioni, anche se approvate successivamente all'inizio dell'esercizio purché entro il termine innanzi indicato, hanno effetto dal 1° gennaio dell'anno di riferimento. In caso di mancata approvazione entro il suddetto termine, le tariffe e le aliquote si intendono prorogate di anno in anno.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170. Ai fini del coordinamento della finanza pubblica e del sistema tributario ed in attuazione dell'articolo 117, secondo comma, lettera r), della Costituzione, gli enti locali e regionali comunicano al Ministero dell'economia e delle finanze i dati relativi al gettito delle entrate tributarie e patrimoniali, di rispettiva competenza. Per l'inosservanza di detti adempimenti si applicano le disposizioni di cui all'articolo </w:t>
      </w:r>
      <w:hyperlink r:id="rId11" w:history="1">
        <w:r w:rsidRPr="00927CAD">
          <w:rPr>
            <w:rFonts w:ascii="Times New Roman" w:eastAsia="Times New Roman" w:hAnsi="Times New Roman" w:cs="Times New Roman"/>
            <w:color w:val="0000FF"/>
            <w:sz w:val="24"/>
            <w:szCs w:val="24"/>
            <w:u w:val="single"/>
            <w:lang w:eastAsia="it-IT"/>
          </w:rPr>
          <w:t>161, comma 3, del testo unico</w:t>
        </w:r>
      </w:hyperlink>
      <w:r w:rsidRPr="00927CAD">
        <w:rPr>
          <w:rFonts w:ascii="Times New Roman" w:eastAsia="Times New Roman" w:hAnsi="Times New Roman" w:cs="Times New Roman"/>
          <w:sz w:val="24"/>
          <w:szCs w:val="24"/>
          <w:lang w:eastAsia="it-IT"/>
        </w:rPr>
        <w:t xml:space="preserve"> delle leggi sull'ordinamento degli enti locali, di cui al </w:t>
      </w:r>
      <w:hyperlink r:id="rId12" w:history="1">
        <w:r w:rsidRPr="00927CAD">
          <w:rPr>
            <w:rFonts w:ascii="Times New Roman" w:eastAsia="Times New Roman" w:hAnsi="Times New Roman" w:cs="Times New Roman"/>
            <w:color w:val="0000FF"/>
            <w:sz w:val="24"/>
            <w:szCs w:val="24"/>
            <w:u w:val="single"/>
            <w:lang w:eastAsia="it-IT"/>
          </w:rPr>
          <w:t>decreto legislativo 18 agosto 2000, n. 267</w:t>
        </w:r>
      </w:hyperlink>
      <w:r w:rsidRPr="00927CAD">
        <w:rPr>
          <w:rFonts w:ascii="Times New Roman" w:eastAsia="Times New Roman" w:hAnsi="Times New Roman" w:cs="Times New Roman"/>
          <w:sz w:val="24"/>
          <w:szCs w:val="24"/>
          <w:lang w:eastAsia="it-IT"/>
        </w:rPr>
        <w:t xml:space="preserve"> e successive modificazioni. Con decreto del Ministero dell'economia e delle finanze, di concerto con il Ministero dell'interno, sono stabiliti il sistema di comunicazione, le modalità ed i termini per l'effettuazione della trasmissione dei dati.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171. Le norme di cui ai commi da 161 a 170 si applicano anche ai rapporti di imposta pendenti alla data di entrata in vigore della presente legge.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172. Al </w:t>
      </w:r>
      <w:hyperlink r:id="rId13" w:history="1">
        <w:r w:rsidRPr="00927CAD">
          <w:rPr>
            <w:rFonts w:ascii="Times New Roman" w:eastAsia="Times New Roman" w:hAnsi="Times New Roman" w:cs="Times New Roman"/>
            <w:color w:val="0000FF"/>
            <w:sz w:val="24"/>
            <w:szCs w:val="24"/>
            <w:u w:val="single"/>
            <w:lang w:eastAsia="it-IT"/>
          </w:rPr>
          <w:t>decreto legislativo 15 novembre 1993, n. 507</w:t>
        </w:r>
      </w:hyperlink>
      <w:r w:rsidRPr="00927CAD">
        <w:rPr>
          <w:rFonts w:ascii="Times New Roman" w:eastAsia="Times New Roman" w:hAnsi="Times New Roman" w:cs="Times New Roman"/>
          <w:sz w:val="24"/>
          <w:szCs w:val="24"/>
          <w:lang w:eastAsia="it-IT"/>
        </w:rPr>
        <w:t xml:space="preserve"> e successive modificazioni, sono apportate le seguenti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lastRenderedPageBreak/>
        <w:t>a) al comma 5 dell'articolo 9, le parole da: "; il relativo ruolo" fino a: "periodo di sospensione" sono soppresse;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b) sono abrogati: il comma 6 dell'articolo 9; l'articolo 10; il comma 4 dell'articolo 23; l'articolo 51, ad eccezione del comma 5; il comma 4 dell'articolo 53; l'articolo 71, ad eccezione del comma 4; l'articolo 75; il comma 5 dell'articolo 76.</w:t>
      </w:r>
    </w:p>
    <w:p w:rsidR="00927CAD" w:rsidRDefault="00927CAD" w:rsidP="00927CAD">
      <w:pPr>
        <w:spacing w:after="75" w:line="240" w:lineRule="auto"/>
        <w:rPr>
          <w:rFonts w:ascii="Times New Roman" w:eastAsia="Times New Roman" w:hAnsi="Times New Roman" w:cs="Times New Roman"/>
          <w:sz w:val="24"/>
          <w:szCs w:val="24"/>
          <w:lang w:eastAsia="it-IT"/>
        </w:rPr>
      </w:pPr>
    </w:p>
    <w:p w:rsidR="00927CAD" w:rsidRPr="00927CAD" w:rsidRDefault="00927CAD" w:rsidP="00927CAD">
      <w:pPr>
        <w:spacing w:after="75"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Commi 173-175 Ici </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173. Al </w:t>
      </w:r>
      <w:hyperlink r:id="rId14" w:history="1">
        <w:r w:rsidRPr="00927CAD">
          <w:rPr>
            <w:rFonts w:ascii="Times New Roman" w:eastAsia="Times New Roman" w:hAnsi="Times New Roman" w:cs="Times New Roman"/>
            <w:color w:val="0000FF"/>
            <w:sz w:val="24"/>
            <w:szCs w:val="24"/>
            <w:u w:val="single"/>
            <w:lang w:eastAsia="it-IT"/>
          </w:rPr>
          <w:t>decreto legislativo 30 dicembre 1992, n. 504</w:t>
        </w:r>
      </w:hyperlink>
      <w:r w:rsidRPr="00927CAD">
        <w:rPr>
          <w:rFonts w:ascii="Times New Roman" w:eastAsia="Times New Roman" w:hAnsi="Times New Roman" w:cs="Times New Roman"/>
          <w:sz w:val="24"/>
          <w:szCs w:val="24"/>
          <w:lang w:eastAsia="it-IT"/>
        </w:rPr>
        <w:t xml:space="preserve"> e successive modificazioni, sono apportate le seguenti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a) il comma 4 dell'articolo 5 è abrogato;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b) al comma 2 dell'articolo 8, dopo le parole: "adibita ad abitazione principale del soggetto passivo" sono inserite le seguenti: ", intendendosi per tale, salvo prova contraria, quella di residenza anagrafica, ";</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c) all'articolo 10, il comma 6 è sostituito dal seguente: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"6. Per gli immobili compresi nel fallimento o nella liquidazione coatta amministrativa il curatore o il commissario liquidatore, entro novanta giorni dalla data della loro nomina, devono presentare al comune di ubicazione degli immobili una dichiarazione attestante l'avvio della procedura. Detti soggetti sono, altresì, tenuti al versamento dell'imposta dovuta per il periodo di durata dell'intera procedura concorsuale entro il termine di tre mesi dalla data del decreto di trasferimento degli immobili";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d) i commi 1, 2, 2 bis e 6 dell'articolo 11 sono abrogati;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e) all'articolo 12, comma 1, le parole: "90 giorni" sono sostituite dalle seguenti: "sessanta giorni" e le parole da: "; il ruolo deve essere formato" fino alla fine del comma sono soppresse;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f) l'articolo 13 è abrogato;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g) il comma 6 dell'articolo 14 è abrogato.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174. Al comma 53 dell'</w:t>
      </w:r>
      <w:hyperlink r:id="rId15" w:history="1">
        <w:r w:rsidRPr="00927CAD">
          <w:rPr>
            <w:rFonts w:ascii="Times New Roman" w:eastAsia="Times New Roman" w:hAnsi="Times New Roman" w:cs="Times New Roman"/>
            <w:color w:val="0000FF"/>
            <w:sz w:val="24"/>
            <w:szCs w:val="24"/>
            <w:u w:val="single"/>
            <w:lang w:eastAsia="it-IT"/>
          </w:rPr>
          <w:t>articolo 37</w:t>
        </w:r>
      </w:hyperlink>
      <w:r w:rsidRPr="00927CAD">
        <w:rPr>
          <w:rFonts w:ascii="Times New Roman" w:eastAsia="Times New Roman" w:hAnsi="Times New Roman" w:cs="Times New Roman"/>
          <w:sz w:val="24"/>
          <w:szCs w:val="24"/>
          <w:lang w:eastAsia="it-IT"/>
        </w:rPr>
        <w:t xml:space="preserve"> del decreto legge 4 luglio 2006, n. 223, convertito, con modificazioni, dalla </w:t>
      </w:r>
      <w:hyperlink r:id="rId16" w:history="1">
        <w:r w:rsidRPr="00927CAD">
          <w:rPr>
            <w:rFonts w:ascii="Times New Roman" w:eastAsia="Times New Roman" w:hAnsi="Times New Roman" w:cs="Times New Roman"/>
            <w:color w:val="0000FF"/>
            <w:sz w:val="24"/>
            <w:szCs w:val="24"/>
            <w:u w:val="single"/>
            <w:lang w:eastAsia="it-IT"/>
          </w:rPr>
          <w:t>legge 4 agosto 2006, n. 248</w:t>
        </w:r>
      </w:hyperlink>
      <w:r w:rsidRPr="00927CAD">
        <w:rPr>
          <w:rFonts w:ascii="Times New Roman" w:eastAsia="Times New Roman" w:hAnsi="Times New Roman" w:cs="Times New Roman"/>
          <w:sz w:val="24"/>
          <w:szCs w:val="24"/>
          <w:lang w:eastAsia="it-IT"/>
        </w:rPr>
        <w:t xml:space="preserve"> è aggiunto, in fine, il seguente periodo: "Resta fermo l'obbligo di presentazione della dichiarazione nei casi in cui gli elementi rilevanti ai fini dell'imposta dipendano da atti per i quali non sono applicabili le procedure telematiche previste dall'</w:t>
      </w:r>
      <w:hyperlink r:id="rId17" w:history="1">
        <w:r w:rsidRPr="00927CAD">
          <w:rPr>
            <w:rFonts w:ascii="Times New Roman" w:eastAsia="Times New Roman" w:hAnsi="Times New Roman" w:cs="Times New Roman"/>
            <w:color w:val="0000FF"/>
            <w:sz w:val="24"/>
            <w:szCs w:val="24"/>
            <w:u w:val="single"/>
            <w:lang w:eastAsia="it-IT"/>
          </w:rPr>
          <w:t>articolo 3</w:t>
        </w:r>
      </w:hyperlink>
      <w:r w:rsidRPr="00927CAD">
        <w:rPr>
          <w:rFonts w:ascii="Times New Roman" w:eastAsia="Times New Roman" w:hAnsi="Times New Roman" w:cs="Times New Roman"/>
          <w:sz w:val="24"/>
          <w:szCs w:val="24"/>
          <w:lang w:eastAsia="it-IT"/>
        </w:rPr>
        <w:t xml:space="preserve"> bis del decreto legislativo 18 dicembre 1997, n. 463, concernente la disciplina del modello unico informatico".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175. Le lettere l) e n) del comma 1 e i commi 2 e 3 dell'</w:t>
      </w:r>
      <w:hyperlink r:id="rId18" w:history="1">
        <w:r w:rsidRPr="00927CAD">
          <w:rPr>
            <w:rFonts w:ascii="Times New Roman" w:eastAsia="Times New Roman" w:hAnsi="Times New Roman" w:cs="Times New Roman"/>
            <w:color w:val="0000FF"/>
            <w:sz w:val="24"/>
            <w:szCs w:val="24"/>
            <w:u w:val="single"/>
            <w:lang w:eastAsia="it-IT"/>
          </w:rPr>
          <w:t>articolo 59</w:t>
        </w:r>
      </w:hyperlink>
      <w:r w:rsidRPr="00927CAD">
        <w:rPr>
          <w:rFonts w:ascii="Times New Roman" w:eastAsia="Times New Roman" w:hAnsi="Times New Roman" w:cs="Times New Roman"/>
          <w:sz w:val="24"/>
          <w:szCs w:val="24"/>
          <w:lang w:eastAsia="it-IT"/>
        </w:rPr>
        <w:t xml:space="preserve"> del decreto legislativo 15 dicembre 1997, n. 446, sono abrogati.</w:t>
      </w:r>
    </w:p>
    <w:p w:rsidR="00927CAD" w:rsidRPr="00927CAD" w:rsidRDefault="00927CAD" w:rsidP="00927CAD">
      <w:pPr>
        <w:spacing w:after="75"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Commi 176-178 Affissioni abusive </w:t>
      </w:r>
    </w:p>
    <w:p w:rsidR="00927CAD" w:rsidRPr="00927CAD" w:rsidRDefault="00927CAD" w:rsidP="00927CAD">
      <w:pPr>
        <w:spacing w:after="0" w:line="240" w:lineRule="auto"/>
        <w:rPr>
          <w:rFonts w:ascii="Times New Roman" w:eastAsia="Times New Roman" w:hAnsi="Times New Roman" w:cs="Times New Roman"/>
          <w:sz w:val="24"/>
          <w:szCs w:val="24"/>
          <w:lang w:eastAsia="it-IT"/>
        </w:rPr>
      </w:pP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lastRenderedPageBreak/>
        <w:t>176. Al fine di contrastare il fenomeno delle affissioni abusive, sono abrogate le seguenti disposizioni: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a) il comma 2 bis dell'articolo 6, il comma 1 bis dell'articolo 20, l'articolo 20 bis, il comma 4 bis dell'articolo 23 e il comma 5 ter dell'</w:t>
      </w:r>
      <w:hyperlink r:id="rId19" w:history="1">
        <w:r w:rsidRPr="00927CAD">
          <w:rPr>
            <w:rFonts w:ascii="Times New Roman" w:eastAsia="Times New Roman" w:hAnsi="Times New Roman" w:cs="Times New Roman"/>
            <w:color w:val="0000FF"/>
            <w:sz w:val="24"/>
            <w:szCs w:val="24"/>
            <w:u w:val="single"/>
            <w:lang w:eastAsia="it-IT"/>
          </w:rPr>
          <w:t>articolo 24</w:t>
        </w:r>
      </w:hyperlink>
      <w:r w:rsidRPr="00927CAD">
        <w:rPr>
          <w:rFonts w:ascii="Times New Roman" w:eastAsia="Times New Roman" w:hAnsi="Times New Roman" w:cs="Times New Roman"/>
          <w:sz w:val="24"/>
          <w:szCs w:val="24"/>
          <w:lang w:eastAsia="it-IT"/>
        </w:rPr>
        <w:t xml:space="preserve"> del decreto legislativo 15 novembre 1993, n. 507, e successive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b) il comma 13 </w:t>
      </w:r>
      <w:proofErr w:type="spellStart"/>
      <w:r w:rsidRPr="00927CAD">
        <w:rPr>
          <w:rFonts w:ascii="Times New Roman" w:eastAsia="Times New Roman" w:hAnsi="Times New Roman" w:cs="Times New Roman"/>
          <w:sz w:val="24"/>
          <w:szCs w:val="24"/>
          <w:lang w:eastAsia="it-IT"/>
        </w:rPr>
        <w:t>quinquies</w:t>
      </w:r>
      <w:proofErr w:type="spellEnd"/>
      <w:r w:rsidRPr="00927CAD">
        <w:rPr>
          <w:rFonts w:ascii="Times New Roman" w:eastAsia="Times New Roman" w:hAnsi="Times New Roman" w:cs="Times New Roman"/>
          <w:sz w:val="24"/>
          <w:szCs w:val="24"/>
          <w:lang w:eastAsia="it-IT"/>
        </w:rPr>
        <w:t xml:space="preserve"> dell'articolo 23 del decreto legislativo 30 aprile 1992, n. 285;</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c) il terzo comma dell'articolo 6 ed il quarto comma dell'</w:t>
      </w:r>
      <w:hyperlink r:id="rId20" w:history="1">
        <w:r w:rsidRPr="00927CAD">
          <w:rPr>
            <w:rFonts w:ascii="Times New Roman" w:eastAsia="Times New Roman" w:hAnsi="Times New Roman" w:cs="Times New Roman"/>
            <w:color w:val="0000FF"/>
            <w:sz w:val="24"/>
            <w:szCs w:val="24"/>
            <w:u w:val="single"/>
            <w:lang w:eastAsia="it-IT"/>
          </w:rPr>
          <w:t>articolo 8</w:t>
        </w:r>
      </w:hyperlink>
      <w:r w:rsidRPr="00927CAD">
        <w:rPr>
          <w:rFonts w:ascii="Times New Roman" w:eastAsia="Times New Roman" w:hAnsi="Times New Roman" w:cs="Times New Roman"/>
          <w:sz w:val="24"/>
          <w:szCs w:val="24"/>
          <w:lang w:eastAsia="it-IT"/>
        </w:rPr>
        <w:t xml:space="preserve"> della legge 4 aprile 1956, n. 212, e successive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177. Sono fatti salvi gli effetti prodotti dall'articolo 20 bis, comma 2, del </w:t>
      </w:r>
      <w:hyperlink r:id="rId21" w:history="1">
        <w:r w:rsidRPr="00927CAD">
          <w:rPr>
            <w:rFonts w:ascii="Times New Roman" w:eastAsia="Times New Roman" w:hAnsi="Times New Roman" w:cs="Times New Roman"/>
            <w:color w:val="0000FF"/>
            <w:sz w:val="24"/>
            <w:szCs w:val="24"/>
            <w:u w:val="single"/>
            <w:lang w:eastAsia="it-IT"/>
          </w:rPr>
          <w:t>decreto legislativo 15 novembre 1993, n. 507.</w:t>
        </w:r>
      </w:hyperlink>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178. All'</w:t>
      </w:r>
      <w:hyperlink r:id="rId22" w:history="1">
        <w:r w:rsidRPr="00927CAD">
          <w:rPr>
            <w:rFonts w:ascii="Times New Roman" w:eastAsia="Times New Roman" w:hAnsi="Times New Roman" w:cs="Times New Roman"/>
            <w:color w:val="0000FF"/>
            <w:sz w:val="24"/>
            <w:szCs w:val="24"/>
            <w:u w:val="single"/>
            <w:lang w:eastAsia="it-IT"/>
          </w:rPr>
          <w:t>articolo 15</w:t>
        </w:r>
      </w:hyperlink>
      <w:r w:rsidRPr="00927CAD">
        <w:rPr>
          <w:rFonts w:ascii="Times New Roman" w:eastAsia="Times New Roman" w:hAnsi="Times New Roman" w:cs="Times New Roman"/>
          <w:sz w:val="24"/>
          <w:szCs w:val="24"/>
          <w:lang w:eastAsia="it-IT"/>
        </w:rPr>
        <w:t xml:space="preserve"> della legge 10 dicembre 1993, n. 515, e successive modificazioni, sono apportate le seguenti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a) al comma 3, le parole da: "sono a carico" fino a: "del committente" sono sostituite dalle seguenti: "sono a carico, in solido, dell'esecutore materiale e del committente responsabile";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b) al comma 19, il terzo periodo è soppresso.</w:t>
      </w:r>
    </w:p>
    <w:p w:rsidR="00927CAD" w:rsidRPr="00927CAD" w:rsidRDefault="00927CAD" w:rsidP="00927CAD">
      <w:pPr>
        <w:spacing w:after="75"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Commi 179-182 Enti locali. Poteri accertativi </w:t>
      </w:r>
    </w:p>
    <w:p w:rsidR="00927CAD" w:rsidRPr="00927CAD" w:rsidRDefault="00927CAD" w:rsidP="00927CAD">
      <w:pPr>
        <w:spacing w:after="0" w:line="240" w:lineRule="auto"/>
        <w:rPr>
          <w:rFonts w:ascii="Times New Roman" w:eastAsia="Times New Roman" w:hAnsi="Times New Roman" w:cs="Times New Roman"/>
          <w:sz w:val="24"/>
          <w:szCs w:val="24"/>
          <w:lang w:eastAsia="it-IT"/>
        </w:rPr>
      </w:pP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179. I comuni e le province, con provvedimento adottato dal dirigente dell'ufficio competente, possono conferire i poteri di accertamento, di contestazione immediata, nonché di redazione e di sottoscrizione del processo verbale di accertamento per le violazioni relative alle proprie entrate e per quelle che si verificano sul proprio territorio, a dipendenti dell'ente locale o dei soggetti affidatari, anche in maniera disgiunta, delle attività di liquidazione, accertamento e riscossione dei tributi e di riscossione delle altre entrate, ai sensi dell'</w:t>
      </w:r>
      <w:hyperlink r:id="rId23" w:history="1">
        <w:r w:rsidRPr="00927CAD">
          <w:rPr>
            <w:rFonts w:ascii="Times New Roman" w:eastAsia="Times New Roman" w:hAnsi="Times New Roman" w:cs="Times New Roman"/>
            <w:color w:val="0000FF"/>
            <w:sz w:val="24"/>
            <w:szCs w:val="24"/>
            <w:u w:val="single"/>
            <w:lang w:eastAsia="it-IT"/>
          </w:rPr>
          <w:t>articolo 52</w:t>
        </w:r>
      </w:hyperlink>
      <w:r w:rsidRPr="00927CAD">
        <w:rPr>
          <w:rFonts w:ascii="Times New Roman" w:eastAsia="Times New Roman" w:hAnsi="Times New Roman" w:cs="Times New Roman"/>
          <w:sz w:val="24"/>
          <w:szCs w:val="24"/>
          <w:lang w:eastAsia="it-IT"/>
        </w:rPr>
        <w:t xml:space="preserve"> comma 5, lettera b), del decreto legislativo 15 dicembre 1997, n. 446, e successive modificazioni. Si applicano le disposizioni dell'</w:t>
      </w:r>
      <w:hyperlink r:id="rId24" w:history="1">
        <w:r w:rsidRPr="00927CAD">
          <w:rPr>
            <w:rFonts w:ascii="Times New Roman" w:eastAsia="Times New Roman" w:hAnsi="Times New Roman" w:cs="Times New Roman"/>
            <w:color w:val="0000FF"/>
            <w:sz w:val="24"/>
            <w:szCs w:val="24"/>
            <w:u w:val="single"/>
            <w:lang w:eastAsia="it-IT"/>
          </w:rPr>
          <w:t>articolo 68</w:t>
        </w:r>
      </w:hyperlink>
      <w:r w:rsidRPr="00927CAD">
        <w:rPr>
          <w:rFonts w:ascii="Times New Roman" w:eastAsia="Times New Roman" w:hAnsi="Times New Roman" w:cs="Times New Roman"/>
          <w:sz w:val="24"/>
          <w:szCs w:val="24"/>
          <w:lang w:eastAsia="it-IT"/>
        </w:rPr>
        <w:t xml:space="preserve"> comma 1, della legge 23 dicembre 1999, n. 488, relative all'efficacia del verbale di accertamento.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180. I poteri di cui al comma 179 non includono, comunque, la contestazione delle violazioni delle disposizioni del decreto legislativo 30 aprile 1992, n. 285, e successive modificazioni. La procedura </w:t>
      </w:r>
      <w:proofErr w:type="spellStart"/>
      <w:r w:rsidRPr="00927CAD">
        <w:rPr>
          <w:rFonts w:ascii="Times New Roman" w:eastAsia="Times New Roman" w:hAnsi="Times New Roman" w:cs="Times New Roman"/>
          <w:sz w:val="24"/>
          <w:szCs w:val="24"/>
          <w:lang w:eastAsia="it-IT"/>
        </w:rPr>
        <w:t>sanzionatola</w:t>
      </w:r>
      <w:proofErr w:type="spellEnd"/>
      <w:r w:rsidRPr="00927CAD">
        <w:rPr>
          <w:rFonts w:ascii="Times New Roman" w:eastAsia="Times New Roman" w:hAnsi="Times New Roman" w:cs="Times New Roman"/>
          <w:sz w:val="24"/>
          <w:szCs w:val="24"/>
          <w:lang w:eastAsia="it-IT"/>
        </w:rPr>
        <w:t xml:space="preserve"> amministrativa è di competenza degli uffici degli enti locali.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181. Le funzioni di cui al comma 179 sono conferite ai dipendenti degli enti locali e dei soggetti affidatari che siano in possesso almeno di titolo di studio di scuola media superiore di secondo grado, previa frequenza di un apposito corso di preparazione e qualificazione, organizzato a cura dell'ente locale stesso, ed il superamento di un esame di idoneità.</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182. I soggetti prescelti non devono avere precedenti e pendenze penali in corso né essere sottoposti a misure di prevenzione disposte dall'autorità giudiziaria, ai sensi della </w:t>
      </w:r>
      <w:hyperlink r:id="rId25" w:history="1">
        <w:r w:rsidRPr="00927CAD">
          <w:rPr>
            <w:rFonts w:ascii="Times New Roman" w:eastAsia="Times New Roman" w:hAnsi="Times New Roman" w:cs="Times New Roman"/>
            <w:color w:val="0000FF"/>
            <w:sz w:val="24"/>
            <w:szCs w:val="24"/>
            <w:u w:val="single"/>
            <w:lang w:eastAsia="it-IT"/>
          </w:rPr>
          <w:t>legge 27 dicembre 1956, n. 1423</w:t>
        </w:r>
      </w:hyperlink>
      <w:r w:rsidRPr="00927CAD">
        <w:rPr>
          <w:rFonts w:ascii="Times New Roman" w:eastAsia="Times New Roman" w:hAnsi="Times New Roman" w:cs="Times New Roman"/>
          <w:sz w:val="24"/>
          <w:szCs w:val="24"/>
          <w:lang w:eastAsia="it-IT"/>
        </w:rPr>
        <w:t xml:space="preserve"> e successive modificazioni, o della legge 31 maggio 1965, n. 575, e successive modificazioni, salvi gli effetti della riabilitazione.</w:t>
      </w:r>
    </w:p>
    <w:p w:rsidR="00B30776" w:rsidRDefault="00B30776"/>
    <w:p w:rsidR="00927CAD" w:rsidRPr="00927CAD" w:rsidRDefault="00927CAD" w:rsidP="00927CAD">
      <w:pPr>
        <w:spacing w:after="75"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lastRenderedPageBreak/>
        <w:t xml:space="preserve">Commi 183-184 Tarsu </w:t>
      </w:r>
      <w:bookmarkStart w:id="0" w:name="_GoBack"/>
      <w:bookmarkEnd w:id="0"/>
    </w:p>
    <w:p w:rsidR="00927CAD" w:rsidRPr="00927CAD" w:rsidRDefault="00927CAD" w:rsidP="00927CAD">
      <w:pPr>
        <w:spacing w:after="0" w:line="240" w:lineRule="auto"/>
        <w:rPr>
          <w:rFonts w:ascii="Times New Roman" w:eastAsia="Times New Roman" w:hAnsi="Times New Roman" w:cs="Times New Roman"/>
          <w:sz w:val="24"/>
          <w:szCs w:val="24"/>
          <w:lang w:eastAsia="it-IT"/>
        </w:rPr>
      </w:pP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183. I criteri indicati nel secondo e nel terzo periodo del comma 3 dell'</w:t>
      </w:r>
      <w:hyperlink r:id="rId26" w:history="1">
        <w:r w:rsidRPr="00927CAD">
          <w:rPr>
            <w:rFonts w:ascii="Times New Roman" w:eastAsia="Times New Roman" w:hAnsi="Times New Roman" w:cs="Times New Roman"/>
            <w:color w:val="0000FF"/>
            <w:sz w:val="24"/>
            <w:szCs w:val="24"/>
            <w:u w:val="single"/>
            <w:lang w:eastAsia="it-IT"/>
          </w:rPr>
          <w:t>articolo 70</w:t>
        </w:r>
      </w:hyperlink>
      <w:r w:rsidRPr="00927CAD">
        <w:rPr>
          <w:rFonts w:ascii="Times New Roman" w:eastAsia="Times New Roman" w:hAnsi="Times New Roman" w:cs="Times New Roman"/>
          <w:sz w:val="24"/>
          <w:szCs w:val="24"/>
          <w:lang w:eastAsia="it-IT"/>
        </w:rPr>
        <w:t xml:space="preserve"> del decreto legislativo 15 novembre 1993, n. 507, e successive modificazioni, in materia di tassa per lo smaltimento dei rifiuti solidi urbani, sono applicabili anche ai fini della determinazione delle superfici per il calcolo della tariffa per la gestione dei rifiuti urbani di cui all'allegato 1, punto 4, del regolamento di cui al </w:t>
      </w:r>
      <w:hyperlink r:id="rId27" w:history="1">
        <w:r w:rsidRPr="00927CAD">
          <w:rPr>
            <w:rFonts w:ascii="Times New Roman" w:eastAsia="Times New Roman" w:hAnsi="Times New Roman" w:cs="Times New Roman"/>
            <w:color w:val="0000FF"/>
            <w:sz w:val="24"/>
            <w:szCs w:val="24"/>
            <w:u w:val="single"/>
            <w:lang w:eastAsia="it-IT"/>
          </w:rPr>
          <w:t>decreto del Presidente della Repubblica 27 aprile 1999, n. 158.</w:t>
        </w:r>
      </w:hyperlink>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184. Nelle more della completa attuazione delle disposizioni recate dal </w:t>
      </w:r>
      <w:hyperlink r:id="rId28" w:history="1">
        <w:r w:rsidRPr="00927CAD">
          <w:rPr>
            <w:rFonts w:ascii="Times New Roman" w:eastAsia="Times New Roman" w:hAnsi="Times New Roman" w:cs="Times New Roman"/>
            <w:color w:val="0000FF"/>
            <w:sz w:val="24"/>
            <w:szCs w:val="24"/>
            <w:u w:val="single"/>
            <w:lang w:eastAsia="it-IT"/>
          </w:rPr>
          <w:t>decreto legislativo 3 aprile 2006, n. 152</w:t>
        </w:r>
      </w:hyperlink>
      <w:r w:rsidRPr="00927CAD">
        <w:rPr>
          <w:rFonts w:ascii="Times New Roman" w:eastAsia="Times New Roman" w:hAnsi="Times New Roman" w:cs="Times New Roman"/>
          <w:sz w:val="24"/>
          <w:szCs w:val="24"/>
          <w:lang w:eastAsia="it-IT"/>
        </w:rPr>
        <w:t xml:space="preserve"> e successive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a) il regime di prelievo relativo al servizio di raccolta e smaltimento dei rifiuti adottato in ciascun comune per l'anno 2006 resta invariato anche per l'anno 2007 e per gli anni 2008 e 2009; (2)</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b) in materia di assimilazione dei rifiuti speciali ai rifiuti urbani, continuano ad applicarsi le disposizioni degli articoli 18, comma 2, lettera d), e 57, comma 1, del </w:t>
      </w:r>
      <w:hyperlink r:id="rId29" w:history="1">
        <w:r w:rsidRPr="00927CAD">
          <w:rPr>
            <w:rFonts w:ascii="Times New Roman" w:eastAsia="Times New Roman" w:hAnsi="Times New Roman" w:cs="Times New Roman"/>
            <w:color w:val="0000FF"/>
            <w:sz w:val="24"/>
            <w:szCs w:val="24"/>
            <w:u w:val="single"/>
            <w:lang w:eastAsia="it-IT"/>
          </w:rPr>
          <w:t>decreto legislativo 5 febbraio 1997, n. 22;</w:t>
        </w:r>
      </w:hyperlink>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c) il termine di cui all'</w:t>
      </w:r>
      <w:hyperlink r:id="rId30" w:history="1">
        <w:r w:rsidRPr="00927CAD">
          <w:rPr>
            <w:rFonts w:ascii="Times New Roman" w:eastAsia="Times New Roman" w:hAnsi="Times New Roman" w:cs="Times New Roman"/>
            <w:color w:val="0000FF"/>
            <w:sz w:val="24"/>
            <w:szCs w:val="24"/>
            <w:u w:val="single"/>
            <w:lang w:eastAsia="it-IT"/>
          </w:rPr>
          <w:t>articolo 17</w:t>
        </w:r>
      </w:hyperlink>
      <w:r w:rsidRPr="00927CAD">
        <w:rPr>
          <w:rFonts w:ascii="Times New Roman" w:eastAsia="Times New Roman" w:hAnsi="Times New Roman" w:cs="Times New Roman"/>
          <w:sz w:val="24"/>
          <w:szCs w:val="24"/>
          <w:lang w:eastAsia="it-IT"/>
        </w:rPr>
        <w:t xml:space="preserve"> commi 1, 2 e 6 del decreto legislativo 13 gennaio 2003, n. 36, è fissato al 31 dicembre 2008. Tale proroga non si applica alle discariche di II categoria, tipo A, ex "2A", e alle discariche per rifiuti inerti, cui si conferiscono materiali di matrice cementizia contenenti amianto. (1)</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(1) Il presente comma è stato così modificato dall'art. 1, c. 166, L. 24.12.2007, n. 244 (G.U. 28.12.2007, n. 300, S.O. n. 285), con decorrenza dal 1° gennaio 2008. Si riporta di seguito il testo previgente: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"184. Nelle more della completa attuazione delle disposizioni recate dal </w:t>
      </w:r>
      <w:hyperlink r:id="rId31" w:history="1">
        <w:r w:rsidRPr="00927CAD">
          <w:rPr>
            <w:rFonts w:ascii="Times New Roman" w:eastAsia="Times New Roman" w:hAnsi="Times New Roman" w:cs="Times New Roman"/>
            <w:color w:val="0000FF"/>
            <w:sz w:val="24"/>
            <w:szCs w:val="24"/>
            <w:u w:val="single"/>
            <w:lang w:eastAsia="it-IT"/>
          </w:rPr>
          <w:t>decreto legislativo 3 aprile 2006, n. 152</w:t>
        </w:r>
      </w:hyperlink>
      <w:r w:rsidRPr="00927CAD">
        <w:rPr>
          <w:rFonts w:ascii="Times New Roman" w:eastAsia="Times New Roman" w:hAnsi="Times New Roman" w:cs="Times New Roman"/>
          <w:sz w:val="24"/>
          <w:szCs w:val="24"/>
          <w:lang w:eastAsia="it-IT"/>
        </w:rPr>
        <w:t xml:space="preserve"> e successive modificazioni:</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a) il regime di prelievo relativo al servizio di raccolta e smaltimento dei rifiuti adottato in ciascun comune per l'anno 2006 resta invariato anche per l'anno 2007;</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b) in materia di assimilazione dei rifiuti speciali ai rifiuti urbani, continuano ad applicarsi le disposizioni degli articoli 18, comma 2, lettera d), e 57, comma 1, del </w:t>
      </w:r>
      <w:hyperlink r:id="rId32" w:history="1">
        <w:r w:rsidRPr="00927CAD">
          <w:rPr>
            <w:rFonts w:ascii="Times New Roman" w:eastAsia="Times New Roman" w:hAnsi="Times New Roman" w:cs="Times New Roman"/>
            <w:color w:val="0000FF"/>
            <w:sz w:val="24"/>
            <w:szCs w:val="24"/>
            <w:u w:val="single"/>
            <w:lang w:eastAsia="it-IT"/>
          </w:rPr>
          <w:t>decreto legislativo 5 febbraio 1997, n. 22;</w:t>
        </w:r>
      </w:hyperlink>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c) il termine di cui all'</w:t>
      </w:r>
      <w:hyperlink r:id="rId33" w:history="1">
        <w:r w:rsidRPr="00927CAD">
          <w:rPr>
            <w:rFonts w:ascii="Times New Roman" w:eastAsia="Times New Roman" w:hAnsi="Times New Roman" w:cs="Times New Roman"/>
            <w:color w:val="0000FF"/>
            <w:sz w:val="24"/>
            <w:szCs w:val="24"/>
            <w:u w:val="single"/>
            <w:lang w:eastAsia="it-IT"/>
          </w:rPr>
          <w:t>articolo 17</w:t>
        </w:r>
      </w:hyperlink>
      <w:r w:rsidRPr="00927CAD">
        <w:rPr>
          <w:rFonts w:ascii="Times New Roman" w:eastAsia="Times New Roman" w:hAnsi="Times New Roman" w:cs="Times New Roman"/>
          <w:sz w:val="24"/>
          <w:szCs w:val="24"/>
          <w:lang w:eastAsia="it-IT"/>
        </w:rPr>
        <w:t xml:space="preserve"> commi 1, 2 e 6 del decreto legislativo 13 gennaio 2003, n. 36, è fissato al 31 dicembre 2007. Tale proroga non si applica alle discariche di II categoria, tipo A, ex "2A", e alle discariche per rifiuti inerti, cui si conferiscono materiali di matrice cementizia contenenti amianto."</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 xml:space="preserve">(2) La presente lettera è stata così modificata dall'art. </w:t>
      </w:r>
      <w:hyperlink r:id="rId34" w:history="1">
        <w:r w:rsidRPr="00927CAD">
          <w:rPr>
            <w:rFonts w:ascii="Times New Roman" w:eastAsia="Times New Roman" w:hAnsi="Times New Roman" w:cs="Times New Roman"/>
            <w:color w:val="0000FF"/>
            <w:sz w:val="24"/>
            <w:szCs w:val="24"/>
            <w:u w:val="single"/>
            <w:lang w:eastAsia="it-IT"/>
          </w:rPr>
          <w:t>5, comma 1, D.L. 30.12.2008, n.208</w:t>
        </w:r>
      </w:hyperlink>
      <w:r w:rsidRPr="00927CAD">
        <w:rPr>
          <w:rFonts w:ascii="Times New Roman" w:eastAsia="Times New Roman" w:hAnsi="Times New Roman" w:cs="Times New Roman"/>
          <w:sz w:val="24"/>
          <w:szCs w:val="24"/>
          <w:lang w:eastAsia="it-IT"/>
        </w:rPr>
        <w:t xml:space="preserve"> con decorrenza dal 31.12.2008. Si riporta di seguito il testo previgente:</w:t>
      </w:r>
    </w:p>
    <w:p w:rsidR="00927CAD" w:rsidRPr="00927CAD" w:rsidRDefault="00927CAD" w:rsidP="00927CAD">
      <w:pPr>
        <w:spacing w:before="100" w:beforeAutospacing="1" w:after="100" w:afterAutospacing="1" w:line="240" w:lineRule="auto"/>
        <w:rPr>
          <w:rFonts w:ascii="Times New Roman" w:eastAsia="Times New Roman" w:hAnsi="Times New Roman" w:cs="Times New Roman"/>
          <w:sz w:val="24"/>
          <w:szCs w:val="24"/>
          <w:lang w:eastAsia="it-IT"/>
        </w:rPr>
      </w:pPr>
      <w:r w:rsidRPr="00927CAD">
        <w:rPr>
          <w:rFonts w:ascii="Times New Roman" w:eastAsia="Times New Roman" w:hAnsi="Times New Roman" w:cs="Times New Roman"/>
          <w:sz w:val="24"/>
          <w:szCs w:val="24"/>
          <w:lang w:eastAsia="it-IT"/>
        </w:rPr>
        <w:t>"il regime di prelievo relativo al servizio di raccolta e smaltimento dei rifiuti adottato in ciascun comune per l'anno 2006 resta invariato anche per l'anno 2007 e per l'anno 2008".</w:t>
      </w:r>
    </w:p>
    <w:p w:rsidR="00927CAD" w:rsidRDefault="00927CAD"/>
    <w:sectPr w:rsidR="00927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AD"/>
    <w:rsid w:val="00927CAD"/>
    <w:rsid w:val="00B30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132">
      <w:bodyDiv w:val="1"/>
      <w:marLeft w:val="0"/>
      <w:marRight w:val="0"/>
      <w:marTop w:val="0"/>
      <w:marBottom w:val="0"/>
      <w:divBdr>
        <w:top w:val="none" w:sz="0" w:space="0" w:color="auto"/>
        <w:left w:val="none" w:sz="0" w:space="0" w:color="auto"/>
        <w:bottom w:val="none" w:sz="0" w:space="0" w:color="auto"/>
        <w:right w:val="none" w:sz="0" w:space="0" w:color="auto"/>
      </w:divBdr>
      <w:divsChild>
        <w:div w:id="1622686243">
          <w:marLeft w:val="0"/>
          <w:marRight w:val="0"/>
          <w:marTop w:val="0"/>
          <w:marBottom w:val="0"/>
          <w:divBdr>
            <w:top w:val="none" w:sz="0" w:space="0" w:color="auto"/>
            <w:left w:val="none" w:sz="0" w:space="0" w:color="auto"/>
            <w:bottom w:val="none" w:sz="0" w:space="0" w:color="auto"/>
            <w:right w:val="none" w:sz="0" w:space="0" w:color="auto"/>
          </w:divBdr>
          <w:divsChild>
            <w:div w:id="2038695539">
              <w:marLeft w:val="0"/>
              <w:marRight w:val="0"/>
              <w:marTop w:val="0"/>
              <w:marBottom w:val="0"/>
              <w:divBdr>
                <w:top w:val="none" w:sz="0" w:space="0" w:color="auto"/>
                <w:left w:val="none" w:sz="0" w:space="0" w:color="auto"/>
                <w:bottom w:val="none" w:sz="0" w:space="0" w:color="auto"/>
                <w:right w:val="none" w:sz="0" w:space="0" w:color="auto"/>
              </w:divBdr>
              <w:divsChild>
                <w:div w:id="541330712">
                  <w:marLeft w:val="120"/>
                  <w:marRight w:val="75"/>
                  <w:marTop w:val="75"/>
                  <w:marBottom w:val="75"/>
                  <w:divBdr>
                    <w:top w:val="none" w:sz="0" w:space="0" w:color="auto"/>
                    <w:left w:val="none" w:sz="0" w:space="0" w:color="auto"/>
                    <w:bottom w:val="none" w:sz="0" w:space="0" w:color="auto"/>
                    <w:right w:val="none" w:sz="0" w:space="0" w:color="auto"/>
                  </w:divBdr>
                </w:div>
                <w:div w:id="151480737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 w:id="1951474904">
          <w:marLeft w:val="0"/>
          <w:marRight w:val="0"/>
          <w:marTop w:val="0"/>
          <w:marBottom w:val="0"/>
          <w:divBdr>
            <w:top w:val="none" w:sz="0" w:space="4" w:color="auto"/>
            <w:left w:val="none" w:sz="0" w:space="4" w:color="auto"/>
            <w:bottom w:val="none" w:sz="0" w:space="4" w:color="auto"/>
            <w:right w:val="none" w:sz="0" w:space="4" w:color="auto"/>
          </w:divBdr>
        </w:div>
      </w:divsChild>
    </w:div>
    <w:div w:id="756363362">
      <w:bodyDiv w:val="1"/>
      <w:marLeft w:val="0"/>
      <w:marRight w:val="0"/>
      <w:marTop w:val="0"/>
      <w:marBottom w:val="0"/>
      <w:divBdr>
        <w:top w:val="none" w:sz="0" w:space="0" w:color="auto"/>
        <w:left w:val="none" w:sz="0" w:space="0" w:color="auto"/>
        <w:bottom w:val="none" w:sz="0" w:space="0" w:color="auto"/>
        <w:right w:val="none" w:sz="0" w:space="0" w:color="auto"/>
      </w:divBdr>
      <w:divsChild>
        <w:div w:id="557325017">
          <w:marLeft w:val="0"/>
          <w:marRight w:val="0"/>
          <w:marTop w:val="0"/>
          <w:marBottom w:val="0"/>
          <w:divBdr>
            <w:top w:val="none" w:sz="0" w:space="0" w:color="auto"/>
            <w:left w:val="none" w:sz="0" w:space="0" w:color="auto"/>
            <w:bottom w:val="none" w:sz="0" w:space="0" w:color="auto"/>
            <w:right w:val="none" w:sz="0" w:space="0" w:color="auto"/>
          </w:divBdr>
          <w:divsChild>
            <w:div w:id="43331531">
              <w:marLeft w:val="0"/>
              <w:marRight w:val="0"/>
              <w:marTop w:val="0"/>
              <w:marBottom w:val="0"/>
              <w:divBdr>
                <w:top w:val="none" w:sz="0" w:space="0" w:color="auto"/>
                <w:left w:val="none" w:sz="0" w:space="0" w:color="auto"/>
                <w:bottom w:val="none" w:sz="0" w:space="0" w:color="auto"/>
                <w:right w:val="none" w:sz="0" w:space="0" w:color="auto"/>
              </w:divBdr>
              <w:divsChild>
                <w:div w:id="1273711625">
                  <w:marLeft w:val="120"/>
                  <w:marRight w:val="75"/>
                  <w:marTop w:val="75"/>
                  <w:marBottom w:val="75"/>
                  <w:divBdr>
                    <w:top w:val="none" w:sz="0" w:space="0" w:color="auto"/>
                    <w:left w:val="none" w:sz="0" w:space="0" w:color="auto"/>
                    <w:bottom w:val="none" w:sz="0" w:space="0" w:color="auto"/>
                    <w:right w:val="none" w:sz="0" w:space="0" w:color="auto"/>
                  </w:divBdr>
                </w:div>
                <w:div w:id="510680721">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 w:id="101533372">
          <w:marLeft w:val="0"/>
          <w:marRight w:val="0"/>
          <w:marTop w:val="0"/>
          <w:marBottom w:val="0"/>
          <w:divBdr>
            <w:top w:val="none" w:sz="0" w:space="4" w:color="auto"/>
            <w:left w:val="none" w:sz="0" w:space="4" w:color="auto"/>
            <w:bottom w:val="none" w:sz="0" w:space="4" w:color="auto"/>
            <w:right w:val="none" w:sz="0" w:space="4" w:color="auto"/>
          </w:divBdr>
        </w:div>
      </w:divsChild>
    </w:div>
    <w:div w:id="1523056921">
      <w:bodyDiv w:val="1"/>
      <w:marLeft w:val="0"/>
      <w:marRight w:val="0"/>
      <w:marTop w:val="0"/>
      <w:marBottom w:val="0"/>
      <w:divBdr>
        <w:top w:val="none" w:sz="0" w:space="0" w:color="auto"/>
        <w:left w:val="none" w:sz="0" w:space="0" w:color="auto"/>
        <w:bottom w:val="none" w:sz="0" w:space="0" w:color="auto"/>
        <w:right w:val="none" w:sz="0" w:space="0" w:color="auto"/>
      </w:divBdr>
      <w:divsChild>
        <w:div w:id="1924682981">
          <w:marLeft w:val="0"/>
          <w:marRight w:val="0"/>
          <w:marTop w:val="0"/>
          <w:marBottom w:val="0"/>
          <w:divBdr>
            <w:top w:val="none" w:sz="0" w:space="0" w:color="auto"/>
            <w:left w:val="none" w:sz="0" w:space="0" w:color="auto"/>
            <w:bottom w:val="none" w:sz="0" w:space="0" w:color="auto"/>
            <w:right w:val="none" w:sz="0" w:space="0" w:color="auto"/>
          </w:divBdr>
          <w:divsChild>
            <w:div w:id="1403211998">
              <w:marLeft w:val="0"/>
              <w:marRight w:val="0"/>
              <w:marTop w:val="0"/>
              <w:marBottom w:val="0"/>
              <w:divBdr>
                <w:top w:val="none" w:sz="0" w:space="0" w:color="auto"/>
                <w:left w:val="none" w:sz="0" w:space="0" w:color="auto"/>
                <w:bottom w:val="none" w:sz="0" w:space="0" w:color="auto"/>
                <w:right w:val="none" w:sz="0" w:space="0" w:color="auto"/>
              </w:divBdr>
              <w:divsChild>
                <w:div w:id="743383317">
                  <w:marLeft w:val="120"/>
                  <w:marRight w:val="75"/>
                  <w:marTop w:val="75"/>
                  <w:marBottom w:val="75"/>
                  <w:divBdr>
                    <w:top w:val="none" w:sz="0" w:space="0" w:color="auto"/>
                    <w:left w:val="none" w:sz="0" w:space="0" w:color="auto"/>
                    <w:bottom w:val="none" w:sz="0" w:space="0" w:color="auto"/>
                    <w:right w:val="none" w:sz="0" w:space="0" w:color="auto"/>
                  </w:divBdr>
                </w:div>
                <w:div w:id="1199859504">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 w:id="1834179796">
          <w:marLeft w:val="0"/>
          <w:marRight w:val="0"/>
          <w:marTop w:val="0"/>
          <w:marBottom w:val="0"/>
          <w:divBdr>
            <w:top w:val="none" w:sz="0" w:space="4" w:color="auto"/>
            <w:left w:val="none" w:sz="0" w:space="4" w:color="auto"/>
            <w:bottom w:val="none" w:sz="0" w:space="4" w:color="auto"/>
            <w:right w:val="none" w:sz="0" w:space="4" w:color="auto"/>
          </w:divBdr>
        </w:div>
      </w:divsChild>
    </w:div>
    <w:div w:id="1578440449">
      <w:bodyDiv w:val="1"/>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sChild>
            <w:div w:id="1039473543">
              <w:marLeft w:val="0"/>
              <w:marRight w:val="0"/>
              <w:marTop w:val="0"/>
              <w:marBottom w:val="0"/>
              <w:divBdr>
                <w:top w:val="none" w:sz="0" w:space="0" w:color="auto"/>
                <w:left w:val="none" w:sz="0" w:space="0" w:color="auto"/>
                <w:bottom w:val="none" w:sz="0" w:space="0" w:color="auto"/>
                <w:right w:val="none" w:sz="0" w:space="0" w:color="auto"/>
              </w:divBdr>
              <w:divsChild>
                <w:div w:id="29579036">
                  <w:marLeft w:val="120"/>
                  <w:marRight w:val="75"/>
                  <w:marTop w:val="75"/>
                  <w:marBottom w:val="75"/>
                  <w:divBdr>
                    <w:top w:val="none" w:sz="0" w:space="0" w:color="auto"/>
                    <w:left w:val="none" w:sz="0" w:space="0" w:color="auto"/>
                    <w:bottom w:val="none" w:sz="0" w:space="0" w:color="auto"/>
                    <w:right w:val="none" w:sz="0" w:space="0" w:color="auto"/>
                  </w:divBdr>
                </w:div>
                <w:div w:id="1886719052">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 w:id="398095981">
          <w:marLeft w:val="0"/>
          <w:marRight w:val="0"/>
          <w:marTop w:val="0"/>
          <w:marBottom w:val="0"/>
          <w:divBdr>
            <w:top w:val="none" w:sz="0" w:space="4" w:color="auto"/>
            <w:left w:val="none" w:sz="0" w:space="4" w:color="auto"/>
            <w:bottom w:val="none" w:sz="0" w:space="4" w:color="auto"/>
            <w:right w:val="none" w:sz="0" w:space="4" w:color="auto"/>
          </w:divBdr>
        </w:div>
      </w:divsChild>
    </w:div>
    <w:div w:id="1979216921">
      <w:bodyDiv w:val="1"/>
      <w:marLeft w:val="0"/>
      <w:marRight w:val="0"/>
      <w:marTop w:val="0"/>
      <w:marBottom w:val="0"/>
      <w:divBdr>
        <w:top w:val="none" w:sz="0" w:space="0" w:color="auto"/>
        <w:left w:val="none" w:sz="0" w:space="0" w:color="auto"/>
        <w:bottom w:val="none" w:sz="0" w:space="0" w:color="auto"/>
        <w:right w:val="none" w:sz="0" w:space="0" w:color="auto"/>
      </w:divBdr>
      <w:divsChild>
        <w:div w:id="849027394">
          <w:marLeft w:val="0"/>
          <w:marRight w:val="0"/>
          <w:marTop w:val="0"/>
          <w:marBottom w:val="0"/>
          <w:divBdr>
            <w:top w:val="none" w:sz="0" w:space="0" w:color="auto"/>
            <w:left w:val="none" w:sz="0" w:space="0" w:color="auto"/>
            <w:bottom w:val="none" w:sz="0" w:space="0" w:color="auto"/>
            <w:right w:val="none" w:sz="0" w:space="0" w:color="auto"/>
          </w:divBdr>
          <w:divsChild>
            <w:div w:id="1617327854">
              <w:marLeft w:val="0"/>
              <w:marRight w:val="0"/>
              <w:marTop w:val="0"/>
              <w:marBottom w:val="0"/>
              <w:divBdr>
                <w:top w:val="none" w:sz="0" w:space="0" w:color="auto"/>
                <w:left w:val="none" w:sz="0" w:space="0" w:color="auto"/>
                <w:bottom w:val="none" w:sz="0" w:space="0" w:color="auto"/>
                <w:right w:val="none" w:sz="0" w:space="0" w:color="auto"/>
              </w:divBdr>
              <w:divsChild>
                <w:div w:id="333917960">
                  <w:marLeft w:val="0"/>
                  <w:marRight w:val="0"/>
                  <w:marTop w:val="0"/>
                  <w:marBottom w:val="0"/>
                  <w:divBdr>
                    <w:top w:val="none" w:sz="0" w:space="0" w:color="auto"/>
                    <w:left w:val="none" w:sz="0" w:space="0" w:color="auto"/>
                    <w:bottom w:val="none" w:sz="0" w:space="0" w:color="auto"/>
                    <w:right w:val="none" w:sz="0" w:space="0" w:color="auto"/>
                  </w:divBdr>
                  <w:divsChild>
                    <w:div w:id="645281800">
                      <w:marLeft w:val="0"/>
                      <w:marRight w:val="0"/>
                      <w:marTop w:val="0"/>
                      <w:marBottom w:val="0"/>
                      <w:divBdr>
                        <w:top w:val="none" w:sz="0" w:space="0" w:color="auto"/>
                        <w:left w:val="none" w:sz="0" w:space="0" w:color="auto"/>
                        <w:bottom w:val="none" w:sz="0" w:space="0" w:color="auto"/>
                        <w:right w:val="none" w:sz="0" w:space="0" w:color="auto"/>
                      </w:divBdr>
                      <w:divsChild>
                        <w:div w:id="94134642">
                          <w:marLeft w:val="0"/>
                          <w:marRight w:val="0"/>
                          <w:marTop w:val="0"/>
                          <w:marBottom w:val="0"/>
                          <w:divBdr>
                            <w:top w:val="none" w:sz="0" w:space="0" w:color="auto"/>
                            <w:left w:val="none" w:sz="0" w:space="0" w:color="auto"/>
                            <w:bottom w:val="none" w:sz="0" w:space="0" w:color="auto"/>
                            <w:right w:val="none" w:sz="0" w:space="0" w:color="auto"/>
                          </w:divBdr>
                          <w:divsChild>
                            <w:div w:id="2009284936">
                              <w:marLeft w:val="0"/>
                              <w:marRight w:val="0"/>
                              <w:marTop w:val="0"/>
                              <w:marBottom w:val="0"/>
                              <w:divBdr>
                                <w:top w:val="none" w:sz="0" w:space="0" w:color="auto"/>
                                <w:left w:val="none" w:sz="0" w:space="0" w:color="auto"/>
                                <w:bottom w:val="none" w:sz="0" w:space="0" w:color="auto"/>
                                <w:right w:val="none" w:sz="0" w:space="0" w:color="auto"/>
                              </w:divBdr>
                              <w:divsChild>
                                <w:div w:id="267859204">
                                  <w:marLeft w:val="120"/>
                                  <w:marRight w:val="75"/>
                                  <w:marTop w:val="75"/>
                                  <w:marBottom w:val="75"/>
                                  <w:divBdr>
                                    <w:top w:val="none" w:sz="0" w:space="0" w:color="auto"/>
                                    <w:left w:val="none" w:sz="0" w:space="0" w:color="auto"/>
                                    <w:bottom w:val="none" w:sz="0" w:space="0" w:color="auto"/>
                                    <w:right w:val="none" w:sz="0" w:space="0" w:color="auto"/>
                                  </w:divBdr>
                                </w:div>
                                <w:div w:id="1809973535">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 w:id="67843997">
                          <w:marLeft w:val="0"/>
                          <w:marRight w:val="0"/>
                          <w:marTop w:val="0"/>
                          <w:marBottom w:val="0"/>
                          <w:divBdr>
                            <w:top w:val="none" w:sz="0" w:space="4" w:color="auto"/>
                            <w:left w:val="none" w:sz="0" w:space="4" w:color="auto"/>
                            <w:bottom w:val="none" w:sz="0" w:space="4" w:color="auto"/>
                            <w:right w:val="none" w:sz="0" w:space="4"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D:78045;1,78046;1" TargetMode="External"/><Relationship Id="rId13" Type="http://schemas.openxmlformats.org/officeDocument/2006/relationships/hyperlink" Target="IDP:952;1" TargetMode="External"/><Relationship Id="rId18" Type="http://schemas.openxmlformats.org/officeDocument/2006/relationships/hyperlink" Target="ID:77978;1" TargetMode="External"/><Relationship Id="rId26" Type="http://schemas.openxmlformats.org/officeDocument/2006/relationships/hyperlink" Target="ID:4568;1" TargetMode="External"/><Relationship Id="rId3" Type="http://schemas.openxmlformats.org/officeDocument/2006/relationships/settings" Target="settings.xml"/><Relationship Id="rId21" Type="http://schemas.openxmlformats.org/officeDocument/2006/relationships/hyperlink" Target="IDP:952;1" TargetMode="External"/><Relationship Id="rId34" Type="http://schemas.openxmlformats.org/officeDocument/2006/relationships/hyperlink" Target="ID:10231991;1" TargetMode="External"/><Relationship Id="rId7" Type="http://schemas.openxmlformats.org/officeDocument/2006/relationships/hyperlink" Target="ID:77971;1" TargetMode="External"/><Relationship Id="rId12" Type="http://schemas.openxmlformats.org/officeDocument/2006/relationships/hyperlink" Target="IDP:34627;1" TargetMode="External"/><Relationship Id="rId17" Type="http://schemas.openxmlformats.org/officeDocument/2006/relationships/hyperlink" Target="ID:1899167;1" TargetMode="External"/><Relationship Id="rId25" Type="http://schemas.openxmlformats.org/officeDocument/2006/relationships/hyperlink" Target="IDP:16925;1" TargetMode="External"/><Relationship Id="rId33" Type="http://schemas.openxmlformats.org/officeDocument/2006/relationships/hyperlink" Target="ID:4275547;1" TargetMode="External"/><Relationship Id="rId2" Type="http://schemas.microsoft.com/office/2007/relationships/stylesWithEffects" Target="stylesWithEffects.xml"/><Relationship Id="rId16" Type="http://schemas.openxmlformats.org/officeDocument/2006/relationships/hyperlink" Target="IDP:129178;1" TargetMode="External"/><Relationship Id="rId20" Type="http://schemas.openxmlformats.org/officeDocument/2006/relationships/hyperlink" Target="ID:1983357;1" TargetMode="External"/><Relationship Id="rId29" Type="http://schemas.openxmlformats.org/officeDocument/2006/relationships/hyperlink" Target="IDP:42;1" TargetMode="External"/><Relationship Id="rId1" Type="http://schemas.openxmlformats.org/officeDocument/2006/relationships/styles" Target="styles.xml"/><Relationship Id="rId6" Type="http://schemas.openxmlformats.org/officeDocument/2006/relationships/hyperlink" Target="ID:77971;1" TargetMode="External"/><Relationship Id="rId11" Type="http://schemas.openxmlformats.org/officeDocument/2006/relationships/hyperlink" Target="ID:309129;1" TargetMode="External"/><Relationship Id="rId24" Type="http://schemas.openxmlformats.org/officeDocument/2006/relationships/hyperlink" Target="ID:1851425;1" TargetMode="External"/><Relationship Id="rId32" Type="http://schemas.openxmlformats.org/officeDocument/2006/relationships/hyperlink" Target="IDP:42;1" TargetMode="External"/><Relationship Id="rId5" Type="http://schemas.openxmlformats.org/officeDocument/2006/relationships/hyperlink" Target="IDP:4143;1" TargetMode="External"/><Relationship Id="rId15" Type="http://schemas.openxmlformats.org/officeDocument/2006/relationships/hyperlink" Target="ID:7384217;1" TargetMode="External"/><Relationship Id="rId23" Type="http://schemas.openxmlformats.org/officeDocument/2006/relationships/hyperlink" Target="ID:77971;1" TargetMode="External"/><Relationship Id="rId28" Type="http://schemas.openxmlformats.org/officeDocument/2006/relationships/hyperlink" Target="IDP:125460;1" TargetMode="External"/><Relationship Id="rId36" Type="http://schemas.openxmlformats.org/officeDocument/2006/relationships/theme" Target="theme/theme1.xml"/><Relationship Id="rId10" Type="http://schemas.openxmlformats.org/officeDocument/2006/relationships/hyperlink" Target="ID:4118773;1" TargetMode="External"/><Relationship Id="rId19" Type="http://schemas.openxmlformats.org/officeDocument/2006/relationships/hyperlink" Target="ID:4495;1" TargetMode="External"/><Relationship Id="rId31" Type="http://schemas.openxmlformats.org/officeDocument/2006/relationships/hyperlink" Target="IDP:125460;1" TargetMode="External"/><Relationship Id="rId4" Type="http://schemas.openxmlformats.org/officeDocument/2006/relationships/webSettings" Target="webSettings.xml"/><Relationship Id="rId9" Type="http://schemas.openxmlformats.org/officeDocument/2006/relationships/hyperlink" Target="ID:4118773;1" TargetMode="External"/><Relationship Id="rId14" Type="http://schemas.openxmlformats.org/officeDocument/2006/relationships/hyperlink" Target="IDP:1183;1" TargetMode="External"/><Relationship Id="rId22" Type="http://schemas.openxmlformats.org/officeDocument/2006/relationships/hyperlink" Target="ID:2018219;1" TargetMode="External"/><Relationship Id="rId27" Type="http://schemas.openxmlformats.org/officeDocument/2006/relationships/hyperlink" Target="IDP:15750;1" TargetMode="External"/><Relationship Id="rId30" Type="http://schemas.openxmlformats.org/officeDocument/2006/relationships/hyperlink" Target="ID:4275547;1"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2397</Words>
  <Characters>13666</Characters>
  <Application>Microsoft Office Word</Application>
  <DocSecurity>0</DocSecurity>
  <Lines>113</Lines>
  <Paragraphs>32</Paragraphs>
  <ScaleCrop>false</ScaleCrop>
  <Company>Hewlett-Packard Company</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XFrancesco Guiso</dc:creator>
  <cp:lastModifiedBy>XFrancesco Guiso</cp:lastModifiedBy>
  <cp:revision>1</cp:revision>
  <dcterms:created xsi:type="dcterms:W3CDTF">2018-01-17T09:22:00Z</dcterms:created>
  <dcterms:modified xsi:type="dcterms:W3CDTF">2018-01-17T09:26:00Z</dcterms:modified>
</cp:coreProperties>
</file>